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C52E35" w14:textId="4462229F" w:rsidR="00D6509E" w:rsidRPr="002C09FF" w:rsidRDefault="00794EAC" w:rsidP="00981C16">
      <w:pPr>
        <w:jc w:val="center"/>
      </w:pPr>
      <w:bookmarkStart w:id="0" w:name="_GoBack"/>
      <w:bookmarkEnd w:id="0"/>
      <w:r w:rsidRPr="002C09FF">
        <w:t>Popravek – s</w:t>
      </w:r>
      <w:r w:rsidR="00981C16" w:rsidRPr="002C09FF">
        <w:t>prememba razpisne dokumentacije</w:t>
      </w:r>
      <w:r w:rsidR="0048353D">
        <w:t xml:space="preserve"> št.3</w:t>
      </w:r>
    </w:p>
    <w:p w14:paraId="5D8A6332" w14:textId="77777777" w:rsidR="00981C16" w:rsidRPr="002C09FF" w:rsidRDefault="00981C16" w:rsidP="00981C16">
      <w:pPr>
        <w:jc w:val="center"/>
      </w:pPr>
    </w:p>
    <w:p w14:paraId="720B9657" w14:textId="37EE5615" w:rsidR="00981C16" w:rsidRPr="002C09FF" w:rsidRDefault="00981C16" w:rsidP="00213123">
      <w:pPr>
        <w:jc w:val="both"/>
      </w:pPr>
      <w:r w:rsidRPr="002C09FF">
        <w:t>Spodaj objavljamo spremembe – popravke razpisne dokumentacije. Velika večina sprememb je že bila objavljena skozi odgovore na vprašanja ponudnikov.</w:t>
      </w:r>
    </w:p>
    <w:p w14:paraId="4193802A" w14:textId="76FB8251" w:rsidR="00794EAC" w:rsidRPr="002C09FF" w:rsidRDefault="007E225A" w:rsidP="00794EAC">
      <w:pPr>
        <w:pStyle w:val="Odstavekseznama"/>
        <w:numPr>
          <w:ilvl w:val="0"/>
          <w:numId w:val="1"/>
        </w:numPr>
      </w:pPr>
      <w:r w:rsidRPr="002C09FF">
        <w:t xml:space="preserve">Sprememba se nanaša na sklop: </w:t>
      </w:r>
      <w:r w:rsidR="00AD093A" w:rsidRPr="002C09FF">
        <w:t>SKLOP 2 – GRC Ajdovščina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52"/>
        <w:gridCol w:w="1536"/>
        <w:gridCol w:w="4395"/>
        <w:gridCol w:w="879"/>
      </w:tblGrid>
      <w:tr w:rsidR="00794EAC" w:rsidRPr="002C09FF" w14:paraId="7640E28D" w14:textId="77777777" w:rsidTr="00EB4470">
        <w:tc>
          <w:tcPr>
            <w:tcW w:w="2265" w:type="dxa"/>
          </w:tcPr>
          <w:p w14:paraId="52A8AF23" w14:textId="77777777" w:rsidR="00794EAC" w:rsidRPr="002C09FF" w:rsidRDefault="00794EAC">
            <w:r w:rsidRPr="002C09FF">
              <w:t>Lokacija</w:t>
            </w:r>
          </w:p>
        </w:tc>
        <w:tc>
          <w:tcPr>
            <w:tcW w:w="1484" w:type="dxa"/>
          </w:tcPr>
          <w:p w14:paraId="2C53B06D" w14:textId="77777777" w:rsidR="00794EAC" w:rsidRPr="002C09FF" w:rsidRDefault="00794EAC">
            <w:r w:rsidRPr="002C09FF">
              <w:t>Zavarovalna vrsta</w:t>
            </w:r>
          </w:p>
        </w:tc>
        <w:tc>
          <w:tcPr>
            <w:tcW w:w="4433" w:type="dxa"/>
          </w:tcPr>
          <w:p w14:paraId="21A40FDB" w14:textId="77777777" w:rsidR="00794EAC" w:rsidRPr="002C09FF" w:rsidRDefault="00794EAC">
            <w:r w:rsidRPr="002C09FF">
              <w:t xml:space="preserve">Popravek - sprememba </w:t>
            </w:r>
          </w:p>
        </w:tc>
        <w:tc>
          <w:tcPr>
            <w:tcW w:w="880" w:type="dxa"/>
          </w:tcPr>
          <w:p w14:paraId="2E00F843" w14:textId="77777777" w:rsidR="00794EAC" w:rsidRPr="002C09FF" w:rsidRDefault="00794EAC" w:rsidP="00DE2B9B">
            <w:pPr>
              <w:jc w:val="center"/>
            </w:pPr>
            <w:r w:rsidRPr="002C09FF">
              <w:t>Priloga</w:t>
            </w:r>
          </w:p>
        </w:tc>
      </w:tr>
      <w:tr w:rsidR="00794EAC" w:rsidRPr="002C09FF" w14:paraId="49260B8D" w14:textId="77777777" w:rsidTr="00EB4470">
        <w:tc>
          <w:tcPr>
            <w:tcW w:w="2265" w:type="dxa"/>
          </w:tcPr>
          <w:p w14:paraId="32402E9D" w14:textId="77777777" w:rsidR="00794EAC" w:rsidRPr="002C09FF" w:rsidRDefault="005A6D84">
            <w:r w:rsidRPr="002C09FF">
              <w:t>GRC Ajdovščina</w:t>
            </w:r>
          </w:p>
        </w:tc>
        <w:tc>
          <w:tcPr>
            <w:tcW w:w="1484" w:type="dxa"/>
          </w:tcPr>
          <w:p w14:paraId="63490C62" w14:textId="06C766C7" w:rsidR="00794EAC" w:rsidRPr="002C09FF" w:rsidRDefault="00234396">
            <w:r w:rsidRPr="002C09FF">
              <w:t>ZAVAROVANJE VOZIL – (</w:t>
            </w:r>
            <w:r>
              <w:t>DOPOLNITEV</w:t>
            </w:r>
            <w:r w:rsidRPr="002C09FF">
              <w:t xml:space="preserve"> PODATKOV)</w:t>
            </w:r>
          </w:p>
        </w:tc>
        <w:tc>
          <w:tcPr>
            <w:tcW w:w="4433" w:type="dxa"/>
          </w:tcPr>
          <w:p w14:paraId="6D5DD196" w14:textId="3308817D" w:rsidR="00794EAC" w:rsidRPr="00234396" w:rsidRDefault="00234396" w:rsidP="00234396">
            <w:r w:rsidRPr="00234396">
              <w:rPr>
                <w:bCs/>
              </w:rPr>
              <w:t xml:space="preserve">Vrednost vozila last GRC Ajdovščina – GOGRC-07 znaša: </w:t>
            </w:r>
            <w:r w:rsidRPr="00234396">
              <w:rPr>
                <w:bCs/>
                <w:u w:val="single"/>
              </w:rPr>
              <w:t>370.465,83 EUR brez DDV</w:t>
            </w:r>
            <w:r w:rsidRPr="00234396">
              <w:rPr>
                <w:bCs/>
              </w:rPr>
              <w:t xml:space="preserve"> oziroma </w:t>
            </w:r>
            <w:r w:rsidRPr="00234396">
              <w:rPr>
                <w:bCs/>
                <w:u w:val="single"/>
              </w:rPr>
              <w:t>451.968,31 EUR z DDV</w:t>
            </w:r>
            <w:r w:rsidRPr="00234396">
              <w:rPr>
                <w:bCs/>
              </w:rPr>
              <w:t>. Kot osnovo za izračun premije kasko zavarovanja se izbere vrednost z DDV.</w:t>
            </w:r>
          </w:p>
        </w:tc>
        <w:tc>
          <w:tcPr>
            <w:tcW w:w="880" w:type="dxa"/>
          </w:tcPr>
          <w:p w14:paraId="433E53EA" w14:textId="77777777" w:rsidR="00794EAC" w:rsidRPr="002C09FF" w:rsidRDefault="00B0648C" w:rsidP="00DE2B9B">
            <w:pPr>
              <w:jc w:val="center"/>
            </w:pPr>
            <w:r w:rsidRPr="002C09FF">
              <w:t>ne</w:t>
            </w:r>
          </w:p>
        </w:tc>
      </w:tr>
    </w:tbl>
    <w:p w14:paraId="53960E5E" w14:textId="77777777" w:rsidR="00794EAC" w:rsidRPr="002C09FF" w:rsidRDefault="00794EAC"/>
    <w:p w14:paraId="693DC741" w14:textId="1F1DF064" w:rsidR="00F12833" w:rsidRPr="002C09FF" w:rsidRDefault="00F12833" w:rsidP="00F12833">
      <w:pPr>
        <w:pStyle w:val="Odstavekseznama"/>
        <w:numPr>
          <w:ilvl w:val="0"/>
          <w:numId w:val="1"/>
        </w:numPr>
      </w:pPr>
      <w:r w:rsidRPr="002C09FF">
        <w:t>Sprememba se nanaša na: SKLOP 13 – ZDRAVSTVENI DOM AJDOVŠČINA</w:t>
      </w:r>
    </w:p>
    <w:p w14:paraId="0211F616" w14:textId="77777777" w:rsidR="00F12833" w:rsidRPr="002C09FF" w:rsidRDefault="00F12833" w:rsidP="00F12833">
      <w:pPr>
        <w:pStyle w:val="Odstavekseznama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003"/>
        <w:gridCol w:w="1536"/>
        <w:gridCol w:w="3910"/>
        <w:gridCol w:w="1613"/>
      </w:tblGrid>
      <w:tr w:rsidR="00F12833" w:rsidRPr="002C09FF" w14:paraId="125F5F22" w14:textId="77777777" w:rsidTr="006640CB">
        <w:tc>
          <w:tcPr>
            <w:tcW w:w="2003" w:type="dxa"/>
          </w:tcPr>
          <w:p w14:paraId="061A6BEF" w14:textId="77777777" w:rsidR="00F12833" w:rsidRPr="002C09FF" w:rsidRDefault="00F12833" w:rsidP="006640CB">
            <w:r w:rsidRPr="002C09FF">
              <w:t>Lokacija</w:t>
            </w:r>
          </w:p>
        </w:tc>
        <w:tc>
          <w:tcPr>
            <w:tcW w:w="1536" w:type="dxa"/>
          </w:tcPr>
          <w:p w14:paraId="3EAB5D4F" w14:textId="77777777" w:rsidR="00F12833" w:rsidRPr="002C09FF" w:rsidRDefault="00F12833" w:rsidP="006640CB">
            <w:r w:rsidRPr="002C09FF">
              <w:t>Zavarovalna vrsta</w:t>
            </w:r>
          </w:p>
        </w:tc>
        <w:tc>
          <w:tcPr>
            <w:tcW w:w="3910" w:type="dxa"/>
          </w:tcPr>
          <w:p w14:paraId="4F2773FC" w14:textId="77777777" w:rsidR="00F12833" w:rsidRPr="002C09FF" w:rsidRDefault="00F12833" w:rsidP="006640CB">
            <w:r w:rsidRPr="002C09FF">
              <w:t xml:space="preserve">Popravek - sprememba </w:t>
            </w:r>
          </w:p>
        </w:tc>
        <w:tc>
          <w:tcPr>
            <w:tcW w:w="1613" w:type="dxa"/>
          </w:tcPr>
          <w:p w14:paraId="3799625D" w14:textId="77777777" w:rsidR="00F12833" w:rsidRPr="002C09FF" w:rsidRDefault="00F12833" w:rsidP="00DE2B9B">
            <w:pPr>
              <w:jc w:val="center"/>
            </w:pPr>
            <w:r w:rsidRPr="002C09FF">
              <w:t>Priloga</w:t>
            </w:r>
          </w:p>
        </w:tc>
      </w:tr>
      <w:tr w:rsidR="00F12833" w:rsidRPr="002C09FF" w14:paraId="39E36BA2" w14:textId="77777777" w:rsidTr="006640CB">
        <w:tc>
          <w:tcPr>
            <w:tcW w:w="2003" w:type="dxa"/>
          </w:tcPr>
          <w:p w14:paraId="6FD14A8E" w14:textId="32132386" w:rsidR="00F12833" w:rsidRPr="002C09FF" w:rsidRDefault="00DE2B9B" w:rsidP="006640CB">
            <w:r>
              <w:t>ZDRAVSTVENI DOM</w:t>
            </w:r>
            <w:r w:rsidR="00F12833" w:rsidRPr="002C09FF">
              <w:t xml:space="preserve"> AJDOVŠČINA</w:t>
            </w:r>
          </w:p>
        </w:tc>
        <w:tc>
          <w:tcPr>
            <w:tcW w:w="1536" w:type="dxa"/>
          </w:tcPr>
          <w:p w14:paraId="4B26140F" w14:textId="26D39549" w:rsidR="00F12833" w:rsidRPr="002C09FF" w:rsidRDefault="00F12833" w:rsidP="006640CB">
            <w:r w:rsidRPr="002C09FF">
              <w:t>ZAVAROVANJE VOZIL – (</w:t>
            </w:r>
            <w:r w:rsidR="00DB591C">
              <w:t>POJASNILO</w:t>
            </w:r>
            <w:r w:rsidRPr="002C09FF">
              <w:t>)</w:t>
            </w:r>
          </w:p>
        </w:tc>
        <w:tc>
          <w:tcPr>
            <w:tcW w:w="3910" w:type="dxa"/>
          </w:tcPr>
          <w:p w14:paraId="1AF92879" w14:textId="3A23DE93" w:rsidR="00F12833" w:rsidRDefault="00A85C97" w:rsidP="006640CB">
            <w:pPr>
              <w:jc w:val="both"/>
            </w:pPr>
            <w:r>
              <w:t>V prilogi AJDOVŠČINA PODATKI 2017, zavihek »ZD AJDOVŠČINA – VOZILA«</w:t>
            </w:r>
            <w:r w:rsidR="00B760AA">
              <w:t xml:space="preserve"> se v celici K3</w:t>
            </w:r>
            <w:r>
              <w:t xml:space="preserve"> </w:t>
            </w:r>
            <w:r w:rsidR="00B760AA">
              <w:t xml:space="preserve">excell tabele, dikcija </w:t>
            </w:r>
            <w:r>
              <w:t xml:space="preserve">»Nabavna vrednost </w:t>
            </w:r>
            <w:r w:rsidR="00874230">
              <w:t>(</w:t>
            </w:r>
            <w:r>
              <w:t>brez DDV</w:t>
            </w:r>
            <w:r w:rsidR="00874230">
              <w:t>)</w:t>
            </w:r>
            <w:r>
              <w:t>«</w:t>
            </w:r>
            <w:r w:rsidR="00B760AA">
              <w:t xml:space="preserve"> spremeni – zamenja z dikcijo »Nabavna vrednost (z DDV)«</w:t>
            </w:r>
            <w:r w:rsidR="00DE2B9B">
              <w:t xml:space="preserve"> </w:t>
            </w:r>
            <w:r w:rsidR="00B760AA">
              <w:t>Prikazane vrednosti že vsebujejo DDV!</w:t>
            </w:r>
          </w:p>
          <w:p w14:paraId="0EDC61A3" w14:textId="42C0C9BC" w:rsidR="00B760AA" w:rsidRPr="002C09FF" w:rsidRDefault="0048353D" w:rsidP="006640CB">
            <w:pPr>
              <w:jc w:val="both"/>
            </w:pPr>
            <w:r>
              <w:t>(</w:t>
            </w:r>
            <w:r w:rsidR="00B760AA">
              <w:t>V točki št. 8.</w:t>
            </w:r>
            <w:r>
              <w:t xml:space="preserve"> predhodno objavljenih sprememb javnega naročila,</w:t>
            </w:r>
            <w:r w:rsidR="00B760AA">
              <w:t xml:space="preserve"> je napačna navedba da</w:t>
            </w:r>
            <w:r w:rsidR="00874230">
              <w:t xml:space="preserve"> objavljene</w:t>
            </w:r>
            <w:r w:rsidR="00B760AA">
              <w:t xml:space="preserve"> vrednosti vozil ZD Ajdovščina ne vsebujejo DDV.</w:t>
            </w:r>
            <w:r>
              <w:t>)</w:t>
            </w:r>
            <w:r w:rsidR="00B760AA">
              <w:t xml:space="preserve"> </w:t>
            </w:r>
            <w:r w:rsidR="00B760AA" w:rsidRPr="00B760AA">
              <w:t xml:space="preserve">Osnova za obračun premije kasko zavarovanja vozil </w:t>
            </w:r>
            <w:r w:rsidR="00874230">
              <w:t>Zdravstvenega doma Ajdovščina ostaja</w:t>
            </w:r>
            <w:r w:rsidR="00B760AA" w:rsidRPr="00B760AA">
              <w:t xml:space="preserve"> vrednosti vozil Z DDV</w:t>
            </w:r>
            <w:r w:rsidR="00B760AA">
              <w:t>.</w:t>
            </w:r>
          </w:p>
        </w:tc>
        <w:tc>
          <w:tcPr>
            <w:tcW w:w="1613" w:type="dxa"/>
          </w:tcPr>
          <w:p w14:paraId="379A6A0E" w14:textId="4ADE0C58" w:rsidR="00F12833" w:rsidRPr="002C09FF" w:rsidRDefault="00DB591C" w:rsidP="00DE2B9B">
            <w:pPr>
              <w:jc w:val="center"/>
            </w:pPr>
            <w:r>
              <w:t>ne</w:t>
            </w:r>
          </w:p>
        </w:tc>
      </w:tr>
    </w:tbl>
    <w:p w14:paraId="1CD21091" w14:textId="5676E125" w:rsidR="00F12833" w:rsidRDefault="00F12833" w:rsidP="00F12833">
      <w:pPr>
        <w:pStyle w:val="Odstavekseznama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977"/>
        <w:gridCol w:w="1723"/>
        <w:gridCol w:w="3787"/>
        <w:gridCol w:w="1575"/>
      </w:tblGrid>
      <w:tr w:rsidR="00DE2B9B" w:rsidRPr="002C09FF" w14:paraId="5FBE91A2" w14:textId="77777777" w:rsidTr="004B78E6">
        <w:tc>
          <w:tcPr>
            <w:tcW w:w="2003" w:type="dxa"/>
          </w:tcPr>
          <w:p w14:paraId="32185740" w14:textId="77777777" w:rsidR="00DE2B9B" w:rsidRPr="002C09FF" w:rsidRDefault="00DE2B9B" w:rsidP="004B78E6">
            <w:r w:rsidRPr="002C09FF">
              <w:t>Lokacija</w:t>
            </w:r>
          </w:p>
        </w:tc>
        <w:tc>
          <w:tcPr>
            <w:tcW w:w="1536" w:type="dxa"/>
          </w:tcPr>
          <w:p w14:paraId="6AD8129B" w14:textId="77777777" w:rsidR="00DE2B9B" w:rsidRPr="002C09FF" w:rsidRDefault="00DE2B9B" w:rsidP="004B78E6">
            <w:r w:rsidRPr="002C09FF">
              <w:t>Zavarovalna vrsta</w:t>
            </w:r>
          </w:p>
        </w:tc>
        <w:tc>
          <w:tcPr>
            <w:tcW w:w="3910" w:type="dxa"/>
          </w:tcPr>
          <w:p w14:paraId="7E4EB4C6" w14:textId="77777777" w:rsidR="00DE2B9B" w:rsidRPr="002C09FF" w:rsidRDefault="00DE2B9B" w:rsidP="004B78E6">
            <w:r w:rsidRPr="002C09FF">
              <w:t xml:space="preserve">Popravek - sprememba </w:t>
            </w:r>
          </w:p>
        </w:tc>
        <w:tc>
          <w:tcPr>
            <w:tcW w:w="1613" w:type="dxa"/>
          </w:tcPr>
          <w:p w14:paraId="2C7A027F" w14:textId="77777777" w:rsidR="00DE2B9B" w:rsidRPr="002C09FF" w:rsidRDefault="00DE2B9B" w:rsidP="004B78E6">
            <w:r w:rsidRPr="002C09FF">
              <w:t>Priloga</w:t>
            </w:r>
          </w:p>
        </w:tc>
      </w:tr>
      <w:tr w:rsidR="00DE2B9B" w:rsidRPr="002C09FF" w14:paraId="7229E25C" w14:textId="77777777" w:rsidTr="004B78E6">
        <w:tc>
          <w:tcPr>
            <w:tcW w:w="2003" w:type="dxa"/>
          </w:tcPr>
          <w:p w14:paraId="2CE5E957" w14:textId="479B9631" w:rsidR="00DE2B9B" w:rsidRPr="002C09FF" w:rsidRDefault="00DE2B9B" w:rsidP="004B78E6">
            <w:r>
              <w:t>ZDRAVSTVENI DOM</w:t>
            </w:r>
            <w:r w:rsidRPr="002C09FF">
              <w:t xml:space="preserve"> AJDOVŠČINA</w:t>
            </w:r>
          </w:p>
        </w:tc>
        <w:tc>
          <w:tcPr>
            <w:tcW w:w="1536" w:type="dxa"/>
          </w:tcPr>
          <w:p w14:paraId="0B358141" w14:textId="65FE00BB" w:rsidR="00DE2B9B" w:rsidRPr="002C09FF" w:rsidRDefault="00DE2B9B" w:rsidP="004B78E6">
            <w:r w:rsidRPr="002C09FF">
              <w:t xml:space="preserve">ZAVAROVANJE </w:t>
            </w:r>
            <w:r>
              <w:t>SPLOŠNE IN POKLICNE ODGOVORNOSTI</w:t>
            </w:r>
          </w:p>
        </w:tc>
        <w:tc>
          <w:tcPr>
            <w:tcW w:w="3910" w:type="dxa"/>
          </w:tcPr>
          <w:p w14:paraId="1EAC5B81" w14:textId="10F83B38" w:rsidR="00DE2B9B" w:rsidRPr="002C09FF" w:rsidRDefault="00264168" w:rsidP="001655CC">
            <w:r>
              <w:t>Poklicna o</w:t>
            </w:r>
            <w:r w:rsidR="00DE2B9B">
              <w:t>dgovornost medicinsko-tehničnega osebja se zavarujejo z zavarovalno vsoto in franšizo, ki je definirana za zavarovanje zdravniške odgovornosti (</w:t>
            </w:r>
            <w:r w:rsidR="00DE2B9B" w:rsidRPr="00DE2B9B">
              <w:rPr>
                <w:rFonts w:cs="Arial"/>
              </w:rPr>
              <w:t>ZV:90.000 EUR po dogodku, franšiza: 10%, min.150 EUR, maks. 3.500 EUR</w:t>
            </w:r>
            <w:r w:rsidR="001655CC">
              <w:rPr>
                <w:rFonts w:cs="Arial"/>
              </w:rPr>
              <w:t>).</w:t>
            </w:r>
          </w:p>
        </w:tc>
        <w:tc>
          <w:tcPr>
            <w:tcW w:w="1613" w:type="dxa"/>
          </w:tcPr>
          <w:p w14:paraId="553F22E1" w14:textId="77777777" w:rsidR="00DE2B9B" w:rsidRPr="002C09FF" w:rsidRDefault="00DE2B9B" w:rsidP="004B78E6">
            <w:r>
              <w:t>ne</w:t>
            </w:r>
          </w:p>
        </w:tc>
      </w:tr>
    </w:tbl>
    <w:p w14:paraId="29A82175" w14:textId="4E3636FB" w:rsidR="00DE2B9B" w:rsidRPr="00DE2B9B" w:rsidRDefault="00DE2B9B" w:rsidP="00F12833">
      <w:pPr>
        <w:pStyle w:val="Odstavekseznama"/>
      </w:pPr>
    </w:p>
    <w:sectPr w:rsidR="00DE2B9B" w:rsidRPr="00DE2B9B" w:rsidSect="00D650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032A0"/>
    <w:multiLevelType w:val="hybridMultilevel"/>
    <w:tmpl w:val="002E39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40B0C"/>
    <w:multiLevelType w:val="hybridMultilevel"/>
    <w:tmpl w:val="35823D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A4039"/>
    <w:multiLevelType w:val="hybridMultilevel"/>
    <w:tmpl w:val="76F034DC"/>
    <w:lvl w:ilvl="0" w:tplc="D6423A0E">
      <w:start w:val="1"/>
      <w:numFmt w:val="decimal"/>
      <w:lvlText w:val="%1."/>
      <w:lvlJc w:val="left"/>
      <w:pPr>
        <w:ind w:left="46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84" w:hanging="360"/>
      </w:pPr>
    </w:lvl>
    <w:lvl w:ilvl="2" w:tplc="0424001B" w:tentative="1">
      <w:start w:val="1"/>
      <w:numFmt w:val="lowerRoman"/>
      <w:lvlText w:val="%3."/>
      <w:lvlJc w:val="right"/>
      <w:pPr>
        <w:ind w:left="1904" w:hanging="180"/>
      </w:pPr>
    </w:lvl>
    <w:lvl w:ilvl="3" w:tplc="0424000F" w:tentative="1">
      <w:start w:val="1"/>
      <w:numFmt w:val="decimal"/>
      <w:lvlText w:val="%4."/>
      <w:lvlJc w:val="left"/>
      <w:pPr>
        <w:ind w:left="2624" w:hanging="360"/>
      </w:pPr>
    </w:lvl>
    <w:lvl w:ilvl="4" w:tplc="04240019" w:tentative="1">
      <w:start w:val="1"/>
      <w:numFmt w:val="lowerLetter"/>
      <w:lvlText w:val="%5."/>
      <w:lvlJc w:val="left"/>
      <w:pPr>
        <w:ind w:left="3344" w:hanging="360"/>
      </w:pPr>
    </w:lvl>
    <w:lvl w:ilvl="5" w:tplc="0424001B" w:tentative="1">
      <w:start w:val="1"/>
      <w:numFmt w:val="lowerRoman"/>
      <w:lvlText w:val="%6."/>
      <w:lvlJc w:val="right"/>
      <w:pPr>
        <w:ind w:left="4064" w:hanging="180"/>
      </w:pPr>
    </w:lvl>
    <w:lvl w:ilvl="6" w:tplc="0424000F" w:tentative="1">
      <w:start w:val="1"/>
      <w:numFmt w:val="decimal"/>
      <w:lvlText w:val="%7."/>
      <w:lvlJc w:val="left"/>
      <w:pPr>
        <w:ind w:left="4784" w:hanging="360"/>
      </w:pPr>
    </w:lvl>
    <w:lvl w:ilvl="7" w:tplc="04240019" w:tentative="1">
      <w:start w:val="1"/>
      <w:numFmt w:val="lowerLetter"/>
      <w:lvlText w:val="%8."/>
      <w:lvlJc w:val="left"/>
      <w:pPr>
        <w:ind w:left="5504" w:hanging="360"/>
      </w:pPr>
    </w:lvl>
    <w:lvl w:ilvl="8" w:tplc="0424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3" w15:restartNumberingAfterBreak="0">
    <w:nsid w:val="0FD06037"/>
    <w:multiLevelType w:val="hybridMultilevel"/>
    <w:tmpl w:val="B50AC2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D4DD2"/>
    <w:multiLevelType w:val="hybridMultilevel"/>
    <w:tmpl w:val="F48C64E8"/>
    <w:lvl w:ilvl="0" w:tplc="286640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7740E9"/>
    <w:multiLevelType w:val="hybridMultilevel"/>
    <w:tmpl w:val="002E39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71128"/>
    <w:multiLevelType w:val="hybridMultilevel"/>
    <w:tmpl w:val="002E39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E123AF"/>
    <w:multiLevelType w:val="hybridMultilevel"/>
    <w:tmpl w:val="002E39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B0616"/>
    <w:multiLevelType w:val="hybridMultilevel"/>
    <w:tmpl w:val="627A806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0D10C5"/>
    <w:multiLevelType w:val="hybridMultilevel"/>
    <w:tmpl w:val="002E39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C56B51"/>
    <w:multiLevelType w:val="hybridMultilevel"/>
    <w:tmpl w:val="002E39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3F3E61"/>
    <w:multiLevelType w:val="hybridMultilevel"/>
    <w:tmpl w:val="002E39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FA2CD3"/>
    <w:multiLevelType w:val="hybridMultilevel"/>
    <w:tmpl w:val="91F01E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A42A75"/>
    <w:multiLevelType w:val="hybridMultilevel"/>
    <w:tmpl w:val="002E39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5E5FEB"/>
    <w:multiLevelType w:val="hybridMultilevel"/>
    <w:tmpl w:val="B50AC2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95612D"/>
    <w:multiLevelType w:val="hybridMultilevel"/>
    <w:tmpl w:val="35823D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FE0A14"/>
    <w:multiLevelType w:val="hybridMultilevel"/>
    <w:tmpl w:val="002E39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A50812"/>
    <w:multiLevelType w:val="hybridMultilevel"/>
    <w:tmpl w:val="002E39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EE5664"/>
    <w:multiLevelType w:val="hybridMultilevel"/>
    <w:tmpl w:val="002E39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892C5C"/>
    <w:multiLevelType w:val="hybridMultilevel"/>
    <w:tmpl w:val="0A2EEE3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BF3B2A"/>
    <w:multiLevelType w:val="hybridMultilevel"/>
    <w:tmpl w:val="B50AC2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4"/>
  </w:num>
  <w:num w:numId="4">
    <w:abstractNumId w:val="15"/>
  </w:num>
  <w:num w:numId="5">
    <w:abstractNumId w:val="8"/>
  </w:num>
  <w:num w:numId="6">
    <w:abstractNumId w:val="4"/>
  </w:num>
  <w:num w:numId="7">
    <w:abstractNumId w:val="3"/>
  </w:num>
  <w:num w:numId="8">
    <w:abstractNumId w:val="12"/>
  </w:num>
  <w:num w:numId="9">
    <w:abstractNumId w:val="20"/>
  </w:num>
  <w:num w:numId="10">
    <w:abstractNumId w:val="2"/>
  </w:num>
  <w:num w:numId="11">
    <w:abstractNumId w:val="19"/>
  </w:num>
  <w:num w:numId="12">
    <w:abstractNumId w:val="13"/>
  </w:num>
  <w:num w:numId="13">
    <w:abstractNumId w:val="7"/>
  </w:num>
  <w:num w:numId="14">
    <w:abstractNumId w:val="16"/>
  </w:num>
  <w:num w:numId="15">
    <w:abstractNumId w:val="11"/>
  </w:num>
  <w:num w:numId="16">
    <w:abstractNumId w:val="6"/>
  </w:num>
  <w:num w:numId="17">
    <w:abstractNumId w:val="17"/>
  </w:num>
  <w:num w:numId="18">
    <w:abstractNumId w:val="18"/>
  </w:num>
  <w:num w:numId="19">
    <w:abstractNumId w:val="10"/>
  </w:num>
  <w:num w:numId="20">
    <w:abstractNumId w:val="0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EAC"/>
    <w:rsid w:val="000569A4"/>
    <w:rsid w:val="000E0778"/>
    <w:rsid w:val="00143628"/>
    <w:rsid w:val="001655CC"/>
    <w:rsid w:val="001738F0"/>
    <w:rsid w:val="001B6EA3"/>
    <w:rsid w:val="001E28E3"/>
    <w:rsid w:val="001F73DD"/>
    <w:rsid w:val="00211D68"/>
    <w:rsid w:val="00213123"/>
    <w:rsid w:val="00234396"/>
    <w:rsid w:val="00260209"/>
    <w:rsid w:val="00264168"/>
    <w:rsid w:val="0026494F"/>
    <w:rsid w:val="00277CA7"/>
    <w:rsid w:val="0028545A"/>
    <w:rsid w:val="002A00E6"/>
    <w:rsid w:val="002C09FF"/>
    <w:rsid w:val="002F72C3"/>
    <w:rsid w:val="0030177C"/>
    <w:rsid w:val="00302875"/>
    <w:rsid w:val="003336E3"/>
    <w:rsid w:val="00392DC1"/>
    <w:rsid w:val="00395E6B"/>
    <w:rsid w:val="003A3D6D"/>
    <w:rsid w:val="003E4F8B"/>
    <w:rsid w:val="00407A0E"/>
    <w:rsid w:val="004129F9"/>
    <w:rsid w:val="004459AB"/>
    <w:rsid w:val="004721FB"/>
    <w:rsid w:val="0048353D"/>
    <w:rsid w:val="00494023"/>
    <w:rsid w:val="004F59A8"/>
    <w:rsid w:val="00523785"/>
    <w:rsid w:val="00547F59"/>
    <w:rsid w:val="0057042A"/>
    <w:rsid w:val="00582697"/>
    <w:rsid w:val="005A6191"/>
    <w:rsid w:val="005A6D84"/>
    <w:rsid w:val="005D04DB"/>
    <w:rsid w:val="0065797E"/>
    <w:rsid w:val="00657FD3"/>
    <w:rsid w:val="006A12E8"/>
    <w:rsid w:val="006A5DA1"/>
    <w:rsid w:val="00707846"/>
    <w:rsid w:val="00730FF5"/>
    <w:rsid w:val="007833F5"/>
    <w:rsid w:val="00794EAC"/>
    <w:rsid w:val="007C4080"/>
    <w:rsid w:val="007E225A"/>
    <w:rsid w:val="008061CA"/>
    <w:rsid w:val="00840230"/>
    <w:rsid w:val="00861C2B"/>
    <w:rsid w:val="00874230"/>
    <w:rsid w:val="008A0672"/>
    <w:rsid w:val="008B0912"/>
    <w:rsid w:val="008B5A6F"/>
    <w:rsid w:val="008C283F"/>
    <w:rsid w:val="008D4B9F"/>
    <w:rsid w:val="008E13E8"/>
    <w:rsid w:val="008E68F5"/>
    <w:rsid w:val="00904FB2"/>
    <w:rsid w:val="009137C8"/>
    <w:rsid w:val="00921CB5"/>
    <w:rsid w:val="00942290"/>
    <w:rsid w:val="00981C16"/>
    <w:rsid w:val="009A35B4"/>
    <w:rsid w:val="009D2737"/>
    <w:rsid w:val="009E6CE3"/>
    <w:rsid w:val="00A07196"/>
    <w:rsid w:val="00A2562A"/>
    <w:rsid w:val="00A301F8"/>
    <w:rsid w:val="00A76F2E"/>
    <w:rsid w:val="00A85C97"/>
    <w:rsid w:val="00AA2D3A"/>
    <w:rsid w:val="00AD093A"/>
    <w:rsid w:val="00AD1D61"/>
    <w:rsid w:val="00AF5941"/>
    <w:rsid w:val="00B0483D"/>
    <w:rsid w:val="00B0648C"/>
    <w:rsid w:val="00B26867"/>
    <w:rsid w:val="00B3176D"/>
    <w:rsid w:val="00B61879"/>
    <w:rsid w:val="00B760AA"/>
    <w:rsid w:val="00B82558"/>
    <w:rsid w:val="00BB02AF"/>
    <w:rsid w:val="00BD4B42"/>
    <w:rsid w:val="00BE4B19"/>
    <w:rsid w:val="00C00329"/>
    <w:rsid w:val="00C1178F"/>
    <w:rsid w:val="00C13EFF"/>
    <w:rsid w:val="00C52261"/>
    <w:rsid w:val="00C62B1D"/>
    <w:rsid w:val="00C66D58"/>
    <w:rsid w:val="00C86862"/>
    <w:rsid w:val="00C92773"/>
    <w:rsid w:val="00CD288C"/>
    <w:rsid w:val="00D25448"/>
    <w:rsid w:val="00D429D0"/>
    <w:rsid w:val="00D6509E"/>
    <w:rsid w:val="00D8450D"/>
    <w:rsid w:val="00DB591C"/>
    <w:rsid w:val="00DE2B9B"/>
    <w:rsid w:val="00E36F6F"/>
    <w:rsid w:val="00E40BF5"/>
    <w:rsid w:val="00EB4470"/>
    <w:rsid w:val="00EB6A93"/>
    <w:rsid w:val="00EC03D0"/>
    <w:rsid w:val="00ED0510"/>
    <w:rsid w:val="00EF5CAD"/>
    <w:rsid w:val="00F05137"/>
    <w:rsid w:val="00F12833"/>
    <w:rsid w:val="00F16F05"/>
    <w:rsid w:val="00F23808"/>
    <w:rsid w:val="00F422BD"/>
    <w:rsid w:val="00F676ED"/>
    <w:rsid w:val="00FC3B6A"/>
    <w:rsid w:val="00FD1681"/>
    <w:rsid w:val="00FD42D2"/>
    <w:rsid w:val="00FE296C"/>
    <w:rsid w:val="00FE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7A9A6"/>
  <w15:docId w15:val="{A44DD373-5E92-4998-AB35-E051094DB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6509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794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94EAC"/>
    <w:pPr>
      <w:ind w:left="720"/>
      <w:contextualSpacing/>
    </w:pPr>
  </w:style>
  <w:style w:type="paragraph" w:customStyle="1" w:styleId="msolistparagraph0">
    <w:name w:val="msolistparagraph"/>
    <w:basedOn w:val="Navaden"/>
    <w:rsid w:val="0057042A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1351</Characters>
  <Application>Microsoft Office Word</Application>
  <DocSecurity>4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Irena Štokelj</cp:lastModifiedBy>
  <cp:revision>2</cp:revision>
  <dcterms:created xsi:type="dcterms:W3CDTF">2017-08-31T12:56:00Z</dcterms:created>
  <dcterms:modified xsi:type="dcterms:W3CDTF">2017-08-31T12:56:00Z</dcterms:modified>
</cp:coreProperties>
</file>